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81D3" w14:textId="12E814D5" w:rsidR="002477E5" w:rsidRDefault="002477E5" w:rsidP="00EF6D0D">
      <w:pPr>
        <w:spacing w:line="420" w:lineRule="atLeast"/>
        <w:outlineLvl w:val="2"/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</w:pP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</w:r>
      <w:r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ab/>
        <w:t>Приложение</w:t>
      </w:r>
    </w:p>
    <w:p w14:paraId="4DF72DB7" w14:textId="3D998C2D" w:rsidR="00EF6D0D" w:rsidRPr="002477E5" w:rsidRDefault="002477E5" w:rsidP="00EF6D0D">
      <w:pPr>
        <w:spacing w:line="420" w:lineRule="atLeast"/>
        <w:outlineLvl w:val="2"/>
        <w:rPr>
          <w:rFonts w:eastAsia="Times New Roman"/>
          <w:b/>
          <w:bCs/>
          <w:color w:val="1F1F1F"/>
          <w:kern w:val="0"/>
          <w:szCs w:val="30"/>
          <w:lang w:eastAsia="ru-RU"/>
          <w14:ligatures w14:val="none"/>
        </w:rPr>
      </w:pPr>
      <w:r w:rsidRPr="002477E5">
        <w:rPr>
          <w:rFonts w:eastAsia="Times New Roman"/>
          <w:b/>
          <w:bCs/>
          <w:color w:val="423510"/>
          <w:spacing w:val="1"/>
          <w:kern w:val="0"/>
          <w:szCs w:val="30"/>
          <w:lang w:eastAsia="ru-RU"/>
          <w14:ligatures w14:val="none"/>
        </w:rPr>
        <w:t>Информация с сайта Министерства культуры</w:t>
      </w:r>
    </w:p>
    <w:p w14:paraId="414C9F1E" w14:textId="62E3A369" w:rsidR="002477E5" w:rsidRPr="002477E5" w:rsidRDefault="002477E5" w:rsidP="002477E5">
      <w:pPr>
        <w:spacing w:line="240" w:lineRule="exact"/>
        <w:outlineLvl w:val="2"/>
        <w:rPr>
          <w:rFonts w:eastAsia="Times New Roman"/>
          <w:color w:val="1F1F1F"/>
          <w:kern w:val="0"/>
          <w:sz w:val="24"/>
          <w:lang w:eastAsia="ru-RU"/>
          <w14:ligatures w14:val="none"/>
        </w:rPr>
      </w:pPr>
      <w:r w:rsidRPr="002477E5">
        <w:rPr>
          <w:rFonts w:eastAsia="Times New Roman"/>
          <w:color w:val="1F1F1F"/>
          <w:kern w:val="0"/>
          <w:sz w:val="24"/>
          <w:lang w:eastAsia="ru-RU"/>
          <w14:ligatures w14:val="none"/>
        </w:rPr>
        <w:t>(https://www.kultura.by/news/o-prinyatii-postanovleniya-soveta-ministrov-respubliki-belarus-ob-organizatsii-i-provedenii-kulturno/)</w:t>
      </w:r>
    </w:p>
    <w:p w14:paraId="031A6BAD" w14:textId="7B462B47" w:rsidR="00EF6D0D" w:rsidRPr="00EF6D0D" w:rsidRDefault="00EF6D0D" w:rsidP="002477E5">
      <w:pPr>
        <w:spacing w:line="420" w:lineRule="atLeast"/>
        <w:jc w:val="center"/>
        <w:outlineLvl w:val="2"/>
        <w:rPr>
          <w:rFonts w:eastAsia="Times New Roman"/>
          <w:b/>
          <w:bCs/>
          <w:color w:val="1F1F1F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b/>
          <w:bCs/>
          <w:color w:val="1F1F1F"/>
          <w:kern w:val="0"/>
          <w:szCs w:val="30"/>
          <w:lang w:eastAsia="ru-RU"/>
          <w14:ligatures w14:val="none"/>
        </w:rPr>
        <w:t>О принятии постановления Совета Министров Республики Беларусь «Об организации и проведении культурно-зрелищных мероприятий»</w:t>
      </w:r>
    </w:p>
    <w:p w14:paraId="27A16B9E" w14:textId="77777777" w:rsidR="00EF6D0D" w:rsidRPr="00EF6D0D" w:rsidRDefault="00EF6D0D" w:rsidP="00EF6D0D">
      <w:pPr>
        <w:spacing w:line="210" w:lineRule="atLeast"/>
        <w:rPr>
          <w:rFonts w:eastAsia="Times New Roman"/>
          <w:color w:val="78601D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78601D"/>
          <w:spacing w:val="1"/>
          <w:kern w:val="0"/>
          <w:szCs w:val="30"/>
          <w:lang w:eastAsia="ru-RU"/>
          <w14:ligatures w14:val="none"/>
        </w:rPr>
        <w:t>22.09.2023</w:t>
      </w:r>
    </w:p>
    <w:p w14:paraId="76AA66D6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В целях совершенствования работы по проведению культурно-зрелищных мероприятий, защиты граждан от недобросовестных организаторов и анализа правоприменительной практики постановлением Совета Министров Республики Беларусь от 19 сентября 2023 г. № 608 «Об организации и проведении культурно-зрелищных мероприятий» внесены изменения в постановление Совета Министров Республики Беларусь</w:t>
      </w: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br/>
        <w:t>от 22 июня 2022 г. № 401 «О реестре организаторов культурно-зрелищных мероприятий».</w:t>
      </w:r>
    </w:p>
    <w:p w14:paraId="023819CE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В частности, установлены требования к организаторам мероприятий:</w:t>
      </w:r>
    </w:p>
    <w:p w14:paraId="3D42A344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деятельность по организации и проведению культурно-зрелищных мероприятий должна являться основным видом деятельности для организатора;</w:t>
      </w:r>
    </w:p>
    <w:p w14:paraId="407E40B8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организатор либо специалист, работающий у организатора, должны иметь опыт предпринимательской деятельности или стаж работы не менее 3 лет, связанные с организацией и проведением культурно-зрелищных мероприятий, соответствующих следующим критериями: эстетическая ценность исполняемых произведений, художественная целостность и композиционная завершенность мероприятия, его художественное оформление, исполнительское мастерство участников.</w:t>
      </w:r>
    </w:p>
    <w:p w14:paraId="4685BB98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Расширен перечень документов, который организатор должен предоставить для включения в реестр. В него дополнительно включены копия трудовой книжки организатора или работающего у него специалиста либо иные документы, удостоверяющие опыт предпринимательской деятельности или стаж работы, связанные с организацией и проведением культурно-зрелищных мероприятий, информация о культурно-зрелищных мероприятиях, проведенных организатором за три года, предшествовавших дате подачи заявления о включении в реестр.</w:t>
      </w:r>
    </w:p>
    <w:p w14:paraId="137A8D83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Также расширен перечень оснований для исключения из реестра,</w:t>
      </w: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br/>
        <w:t>в частности, непроведение организатором мероприятий в течение одного года с даты включения в реестр, поступление от контрольных (надзорных) органов информации о проведении мероприятий с нарушением требований Кодекса Республики Беларусь о культуре, иных актов законодательства.</w:t>
      </w:r>
    </w:p>
    <w:p w14:paraId="5F93A584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lastRenderedPageBreak/>
        <w:t>Организаторы, включенные в реестр и желающие продолжить деятельность по организации мероприятий, должны в месячный срок со дня  вступления в силу настоящего постановления предоставить</w:t>
      </w: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br/>
        <w:t>в Министерство культуры для подтверждения своего нахождения в реестре копию трудовой книжки организатора или работающего у него специалиста либо иные документы, удостоверяющие опыт  предпринимательской деятельности или стаж работы, связанные с организацией и проведением культурно-зрелищных мероприятий, информацию о культурно-зрелищных мероприятиях, проведенных организатором за три года, предшествовавших дате подачи заявления о включении в реестр.</w:t>
      </w:r>
    </w:p>
    <w:p w14:paraId="3E41AB5E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В случае непредоставления соответствующих документов они будут исключены из реестра.</w:t>
      </w:r>
    </w:p>
    <w:p w14:paraId="78581CFF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Организаторы культурно-зрелищных мероприятий, подавшие заявление о включении в реестр, по которым до вступления в силу настоящего постановления Министерством культуры решения не приняты, также должны будут дополнительно предоставить эти же документы в Министерство культуры для рассмотрения вопроса об их включении в реестр.</w:t>
      </w:r>
    </w:p>
    <w:p w14:paraId="675D5965" w14:textId="77777777" w:rsidR="00EF6D0D" w:rsidRPr="00EF6D0D" w:rsidRDefault="00EF6D0D" w:rsidP="00EF6D0D">
      <w:pPr>
        <w:spacing w:before="150" w:after="150" w:line="300" w:lineRule="atLeast"/>
        <w:jc w:val="both"/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</w:pPr>
      <w:r w:rsidRPr="00EF6D0D">
        <w:rPr>
          <w:rFonts w:eastAsia="Times New Roman"/>
          <w:color w:val="1F1F1F"/>
          <w:spacing w:val="1"/>
          <w:kern w:val="0"/>
          <w:szCs w:val="30"/>
          <w:lang w:eastAsia="ru-RU"/>
          <w14:ligatures w14:val="none"/>
        </w:rPr>
        <w:t>Принятие постановления будет способствовать упорядочению деятельности организаторов культурно-зрелищных мероприятий и повышению качества оказываемых ими услуг.</w:t>
      </w:r>
    </w:p>
    <w:p w14:paraId="54A4A5FF" w14:textId="77777777" w:rsidR="00D95065" w:rsidRDefault="00D95065"/>
    <w:sectPr w:rsidR="00D95065" w:rsidSect="009034B6">
      <w:headerReference w:type="default" r:id="rId7"/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286E" w14:textId="77777777" w:rsidR="005E0C16" w:rsidRDefault="005E0C16" w:rsidP="002477E5">
      <w:r>
        <w:separator/>
      </w:r>
    </w:p>
  </w:endnote>
  <w:endnote w:type="continuationSeparator" w:id="0">
    <w:p w14:paraId="4A3695FD" w14:textId="77777777" w:rsidR="005E0C16" w:rsidRDefault="005E0C16" w:rsidP="002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E47B" w14:textId="77777777" w:rsidR="005E0C16" w:rsidRDefault="005E0C16" w:rsidP="002477E5">
      <w:r>
        <w:separator/>
      </w:r>
    </w:p>
  </w:footnote>
  <w:footnote w:type="continuationSeparator" w:id="0">
    <w:p w14:paraId="57915F15" w14:textId="77777777" w:rsidR="005E0C16" w:rsidRDefault="005E0C16" w:rsidP="0024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A102" w14:textId="62D407E2" w:rsidR="002477E5" w:rsidRDefault="002477E5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23363"/>
    <w:multiLevelType w:val="multilevel"/>
    <w:tmpl w:val="3B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83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0D"/>
    <w:rsid w:val="00065BBA"/>
    <w:rsid w:val="000A3EE9"/>
    <w:rsid w:val="000D3623"/>
    <w:rsid w:val="00115399"/>
    <w:rsid w:val="001370CA"/>
    <w:rsid w:val="00171E39"/>
    <w:rsid w:val="00182361"/>
    <w:rsid w:val="001A316B"/>
    <w:rsid w:val="001B6819"/>
    <w:rsid w:val="001F50C1"/>
    <w:rsid w:val="0020118B"/>
    <w:rsid w:val="00205190"/>
    <w:rsid w:val="00221DAD"/>
    <w:rsid w:val="002477E5"/>
    <w:rsid w:val="0025126B"/>
    <w:rsid w:val="00254C6A"/>
    <w:rsid w:val="0026412D"/>
    <w:rsid w:val="00284F45"/>
    <w:rsid w:val="002F4854"/>
    <w:rsid w:val="0030658E"/>
    <w:rsid w:val="003307D1"/>
    <w:rsid w:val="00337F78"/>
    <w:rsid w:val="003E2DD3"/>
    <w:rsid w:val="00403F09"/>
    <w:rsid w:val="00405CBE"/>
    <w:rsid w:val="004064F8"/>
    <w:rsid w:val="00414AA7"/>
    <w:rsid w:val="00456B12"/>
    <w:rsid w:val="00476DE9"/>
    <w:rsid w:val="00476FC6"/>
    <w:rsid w:val="00477735"/>
    <w:rsid w:val="00484CB1"/>
    <w:rsid w:val="00490C1D"/>
    <w:rsid w:val="004A30BF"/>
    <w:rsid w:val="004A5E90"/>
    <w:rsid w:val="004B47EE"/>
    <w:rsid w:val="004E271A"/>
    <w:rsid w:val="004E6DC8"/>
    <w:rsid w:val="00515F91"/>
    <w:rsid w:val="00520A05"/>
    <w:rsid w:val="00536A78"/>
    <w:rsid w:val="005455DD"/>
    <w:rsid w:val="0055757D"/>
    <w:rsid w:val="00594416"/>
    <w:rsid w:val="005D7BF9"/>
    <w:rsid w:val="005E0C16"/>
    <w:rsid w:val="00630394"/>
    <w:rsid w:val="00634D40"/>
    <w:rsid w:val="00650CBD"/>
    <w:rsid w:val="00654F82"/>
    <w:rsid w:val="006C3A83"/>
    <w:rsid w:val="00713AE9"/>
    <w:rsid w:val="00742700"/>
    <w:rsid w:val="00753D92"/>
    <w:rsid w:val="007773B4"/>
    <w:rsid w:val="0078080D"/>
    <w:rsid w:val="007B3DC4"/>
    <w:rsid w:val="007F156F"/>
    <w:rsid w:val="008A3B79"/>
    <w:rsid w:val="008A40D9"/>
    <w:rsid w:val="008F3ED3"/>
    <w:rsid w:val="009034B6"/>
    <w:rsid w:val="009262D7"/>
    <w:rsid w:val="00960083"/>
    <w:rsid w:val="00990B4D"/>
    <w:rsid w:val="009A7933"/>
    <w:rsid w:val="009B5362"/>
    <w:rsid w:val="009B5CDB"/>
    <w:rsid w:val="009C3F58"/>
    <w:rsid w:val="009D5561"/>
    <w:rsid w:val="00A225BA"/>
    <w:rsid w:val="00A2326F"/>
    <w:rsid w:val="00A72A84"/>
    <w:rsid w:val="00AD0F2C"/>
    <w:rsid w:val="00AE7EE8"/>
    <w:rsid w:val="00B07D6A"/>
    <w:rsid w:val="00B26177"/>
    <w:rsid w:val="00B50CC0"/>
    <w:rsid w:val="00B977DB"/>
    <w:rsid w:val="00BA4EC0"/>
    <w:rsid w:val="00BD4439"/>
    <w:rsid w:val="00BF7D6D"/>
    <w:rsid w:val="00C0120A"/>
    <w:rsid w:val="00C254C7"/>
    <w:rsid w:val="00C6262C"/>
    <w:rsid w:val="00C6562E"/>
    <w:rsid w:val="00C66678"/>
    <w:rsid w:val="00C75BCA"/>
    <w:rsid w:val="00CB6E13"/>
    <w:rsid w:val="00CD78D1"/>
    <w:rsid w:val="00CF7932"/>
    <w:rsid w:val="00D11984"/>
    <w:rsid w:val="00D37E4D"/>
    <w:rsid w:val="00D461C6"/>
    <w:rsid w:val="00D650F2"/>
    <w:rsid w:val="00D80C68"/>
    <w:rsid w:val="00D95065"/>
    <w:rsid w:val="00DB0CA4"/>
    <w:rsid w:val="00DC0D6B"/>
    <w:rsid w:val="00E431A9"/>
    <w:rsid w:val="00EF6D0D"/>
    <w:rsid w:val="00F24389"/>
    <w:rsid w:val="00F76C61"/>
    <w:rsid w:val="00F83D5D"/>
    <w:rsid w:val="00F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A3F"/>
  <w15:chartTrackingRefBased/>
  <w15:docId w15:val="{A75FCC41-7D6C-495F-95B7-7FE2AEF2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30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39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115399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Cs w:val="26"/>
    </w:rPr>
  </w:style>
  <w:style w:type="character" w:customStyle="1" w:styleId="12">
    <w:name w:val="Стиль1 Знак"/>
    <w:basedOn w:val="a0"/>
    <w:link w:val="11"/>
    <w:locked/>
    <w:rsid w:val="00115399"/>
    <w:rPr>
      <w:rFonts w:eastAsia="Calibri"/>
      <w:sz w:val="30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styleId="a3">
    <w:name w:val="Hyperlink"/>
    <w:basedOn w:val="a0"/>
    <w:uiPriority w:val="99"/>
    <w:semiHidden/>
    <w:unhideWhenUsed/>
    <w:rsid w:val="00EF6D0D"/>
    <w:rPr>
      <w:color w:val="0000FF"/>
      <w:u w:val="single"/>
    </w:rPr>
  </w:style>
  <w:style w:type="character" w:customStyle="1" w:styleId="divider">
    <w:name w:val="divider"/>
    <w:basedOn w:val="a0"/>
    <w:rsid w:val="00EF6D0D"/>
  </w:style>
  <w:style w:type="paragraph" w:customStyle="1" w:styleId="active">
    <w:name w:val="active"/>
    <w:basedOn w:val="a"/>
    <w:rsid w:val="00EF6D0D"/>
    <w:pPr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24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77E5"/>
  </w:style>
  <w:style w:type="paragraph" w:styleId="a6">
    <w:name w:val="footer"/>
    <w:basedOn w:val="a"/>
    <w:link w:val="a7"/>
    <w:uiPriority w:val="99"/>
    <w:unhideWhenUsed/>
    <w:rsid w:val="0024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Дина Петровна</dc:creator>
  <cp:keywords/>
  <dc:description/>
  <cp:lastModifiedBy>Лещенко Дина Петровна</cp:lastModifiedBy>
  <cp:revision>2</cp:revision>
  <dcterms:created xsi:type="dcterms:W3CDTF">2023-10-02T12:54:00Z</dcterms:created>
  <dcterms:modified xsi:type="dcterms:W3CDTF">2023-10-05T12:31:00Z</dcterms:modified>
</cp:coreProperties>
</file>